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F20D" w14:textId="77777777" w:rsidR="00661936" w:rsidRPr="00A3074E" w:rsidRDefault="00FB36D8" w:rsidP="005F0AC8">
      <w:pPr>
        <w:spacing w:after="0" w:line="240" w:lineRule="auto"/>
        <w:ind w:left="708" w:hanging="708"/>
        <w:contextualSpacing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s-CO"/>
        </w:rPr>
        <w:t>[</w:t>
      </w:r>
      <w:r w:rsidRPr="00FB36D8">
        <w:rPr>
          <w:rFonts w:ascii="Times New Roman" w:eastAsia="Times New Roman" w:hAnsi="Times New Roman" w:cs="Times New Roman"/>
          <w:sz w:val="24"/>
          <w:szCs w:val="24"/>
          <w:highlight w:val="yellow"/>
          <w:shd w:val="clear" w:color="auto" w:fill="FFFFFF"/>
          <w:lang w:eastAsia="es-CO"/>
        </w:rPr>
        <w:t xml:space="preserve">Ciudad y </w:t>
      </w:r>
      <w:r w:rsidR="00661936" w:rsidRPr="00FB36D8">
        <w:rPr>
          <w:rFonts w:ascii="Times New Roman" w:eastAsia="Times New Roman" w:hAnsi="Times New Roman" w:cs="Times New Roman"/>
          <w:sz w:val="24"/>
          <w:szCs w:val="24"/>
          <w:highlight w:val="yellow"/>
          <w:shd w:val="clear" w:color="auto" w:fill="FFFFFF"/>
          <w:lang w:eastAsia="es-CO"/>
        </w:rPr>
        <w:t>fecha</w:t>
      </w:r>
      <w:r w:rsidR="00661936" w:rsidRPr="00A307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s-CO"/>
        </w:rPr>
        <w:t>]</w:t>
      </w:r>
    </w:p>
    <w:p w14:paraId="42EDC566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36BAAA61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Señoras/es </w:t>
      </w:r>
    </w:p>
    <w:p w14:paraId="32271A4A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JUZGADO </w:t>
      </w:r>
      <w:r w:rsidR="00CC5458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MUNICIPAL</w:t>
      </w:r>
      <w:r w:rsidR="00D25A37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(REPARTO)</w:t>
      </w:r>
    </w:p>
    <w:p w14:paraId="21285490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340DD53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Asunto: 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cción de tutela por violación de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los 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derecho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fundamental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es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al libre desarrollo de la personalidad </w:t>
      </w:r>
      <w:r w:rsidR="00D25A37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(C.P, art. 16)</w:t>
      </w:r>
      <w:r w:rsidR="00482485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 la intimidad personal y familiar</w:t>
      </w:r>
      <w:r w:rsidR="00D25A37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(C.P, art. 15)</w:t>
      </w:r>
      <w:r w:rsidR="00482485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y al debido proceso (C.P, art. 29).</w:t>
      </w:r>
    </w:p>
    <w:p w14:paraId="0A7777CC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43B7AE5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Accionante: 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Nombre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C.C 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Número de cédula</w:t>
      </w:r>
      <w:r w:rsidR="00F022C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  <w:r w:rsidR="00533917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.</w:t>
      </w:r>
    </w:p>
    <w:p w14:paraId="18E655FF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Accionado: 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Conjunto Residencial</w:t>
      </w:r>
      <w:r w:rsidR="008D1596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Mencione el nombre del conjunto residencial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  <w:r w:rsidR="00533917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r w:rsidR="00533917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NIT [Número de NIT del Conjunto, en caso de tenerlo]</w:t>
      </w:r>
      <w:r w:rsidR="00533917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.</w:t>
      </w:r>
    </w:p>
    <w:p w14:paraId="577DD0F5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Derecho</w:t>
      </w:r>
      <w:r w:rsidR="008D1596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s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fundamental</w:t>
      </w:r>
      <w:r w:rsidR="008D1596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es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 vulnerado</w:t>
      </w:r>
      <w:r w:rsidR="008D1596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s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: 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Libre desarrollo de la personalidad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(C.P, art. 16), 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intimidad personal y familiar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(C.P, art. 15), y debido proceso (C.P, art. 29). </w:t>
      </w:r>
    </w:p>
    <w:p w14:paraId="10C61F1F" w14:textId="77777777" w:rsidR="005F0AC8" w:rsidRPr="00A3074E" w:rsidRDefault="005F0AC8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1BA4B31E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HECHOS</w:t>
      </w:r>
    </w:p>
    <w:p w14:paraId="18784AFC" w14:textId="77777777" w:rsidR="00661936" w:rsidRPr="00A3074E" w:rsidRDefault="00661936" w:rsidP="005F0AC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9E16B27" w14:textId="77777777" w:rsidR="008D1596" w:rsidRPr="00A3074E" w:rsidRDefault="008D159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 xml:space="preserve">Narre los hechos por los que presenta la tutela, y ponga cada hecho en un numeral. 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s-CO"/>
        </w:rPr>
        <w:t>Por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 xml:space="preserve"> 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s-CO"/>
        </w:rPr>
        <w:t>ejemplo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:]</w:t>
      </w:r>
    </w:p>
    <w:p w14:paraId="37D8AD8E" w14:textId="77777777" w:rsidR="008D1596" w:rsidRPr="00A3074E" w:rsidRDefault="008D1596" w:rsidP="005F0AC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0E86FA21" w14:textId="77777777" w:rsidR="008D1596" w:rsidRPr="00A3074E" w:rsidRDefault="008D1596" w:rsidP="005F0AC8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Actualmente vivo en el Conjunto Residencial 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X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, y tengo los siguientes animales de compañía: [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mencione qué animales de compañía tiene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].</w:t>
      </w:r>
    </w:p>
    <w:p w14:paraId="6B3679C9" w14:textId="77777777" w:rsidR="008D1596" w:rsidRPr="00A3074E" w:rsidRDefault="008D1596" w:rsidP="005F0AC8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El </w:t>
      </w:r>
      <w:r w:rsidR="00A3074E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día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X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del 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mes</w:t>
      </w:r>
      <w:r w:rsidR="00A3074E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X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de </w:t>
      </w:r>
      <w:r w:rsidR="00A3074E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año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X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el Conjunto Residencial me envió una 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comunicación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en la que me informó que</w:t>
      </w:r>
      <w:r w:rsidR="0057213F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: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r w:rsidR="00B11496"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[   ]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.</w:t>
      </w:r>
    </w:p>
    <w:p w14:paraId="23EAFDE5" w14:textId="77777777" w:rsidR="00A3074E" w:rsidRDefault="00A3074E" w:rsidP="005F0AC8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En relación con la tenencia de animales de compañía, el reglamento de propiedad horizontal de mi </w:t>
      </w:r>
      <w:r w:rsidR="00FB36D8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Pr="00FB36D8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conjunto/edificio</w:t>
      </w:r>
      <w:r w:rsidR="00FB36D8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establece que [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copie lo que el reglamento de su conjunto o edificio establezca sobre la tenencia de animales de compañía: prohibiciones, sanciones, etc. En caso de que NO establezca nada, señálelo de forma expresa</w:t>
      </w:r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</w:p>
    <w:p w14:paraId="091B06FF" w14:textId="77777777" w:rsidR="008D1596" w:rsidRPr="00A3074E" w:rsidRDefault="00CE116E" w:rsidP="005F0AC8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Siempre he acatado todas las condiciones de tenencia de animales que exige la normativa vigente. </w:t>
      </w:r>
    </w:p>
    <w:p w14:paraId="6CE81F14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FUNDAMENTOS DE DERECHO</w:t>
      </w:r>
    </w:p>
    <w:p w14:paraId="1FFD362F" w14:textId="77777777" w:rsidR="00605880" w:rsidRPr="00A3074E" w:rsidRDefault="00605880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50145C8D" w14:textId="77777777" w:rsidR="00CE116E" w:rsidRPr="00A3074E" w:rsidRDefault="00A26C0B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Existen</w:t>
      </w:r>
      <w:r w:rsidR="0062603D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numerosos pronunciamientos de la </w:t>
      </w:r>
      <w:r w:rsidR="00D35F42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Corte Constitucional </w:t>
      </w:r>
      <w:r w:rsidR="0062603D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en relación con la tenencia de animales domésticos en conjuntos residenciales. </w:t>
      </w:r>
      <w:r w:rsidR="002A6412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Esta Corporación h</w:t>
      </w:r>
      <w:r w:rsidR="00D35F42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a afirmado reiteradamente en las sentencias T-035 de 1997, T-119 de 1998, </w:t>
      </w:r>
      <w:r w:rsidR="005F0AC8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C-439 de 2011, </w:t>
      </w:r>
      <w:r w:rsidR="00D35F42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T-155 de 2012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y </w:t>
      </w:r>
      <w:r w:rsidR="00D35F42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T-034 de 2013 que existe un estrecho vínculo entre la tenencia de animales y el ejercicio de derechos fundamentales, y que “</w:t>
      </w:r>
      <w:r w:rsidR="00D35F42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 xml:space="preserve">el mantenimiento de un animal doméstico (…) en el lugar de habitación </w:t>
      </w:r>
      <w:r w:rsidR="00CE116E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(…) constituye un claro desarrollo del derecho al libre desarrollo de la personalidad (C.P, art. 16) y  la intimidad personal y familiar (C.P, art.15)</w:t>
      </w:r>
      <w:r w:rsidR="00CE116E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”</w:t>
      </w:r>
      <w:r w:rsidR="00CE116E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footnoteReference w:id="1"/>
      </w:r>
      <w:r w:rsidR="00CE116E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. Por eso, la Corte ha expresado que “</w:t>
      </w:r>
      <w:r w:rsidR="00CE116E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la tenencia de un animal doméstico en el lugar de residencia es una decisión personal y familiar que obedece a diferentes necesidades y proyectos de vida, y que por lo tanto en principio debe ser respetada y protegida por el Estado</w:t>
      </w:r>
      <w:r w:rsidR="00CE116E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”</w:t>
      </w:r>
      <w:r w:rsidR="00CE116E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footnoteReference w:id="2"/>
      </w:r>
      <w:r w:rsidR="00CE116E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.</w:t>
      </w:r>
    </w:p>
    <w:p w14:paraId="382F5EE5" w14:textId="77777777" w:rsidR="005F0AC8" w:rsidRPr="00A3074E" w:rsidRDefault="005F0AC8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0C585096" w14:textId="77777777" w:rsidR="002F6036" w:rsidRPr="00A3074E" w:rsidRDefault="002F6036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Por lo anterior, si bien las corpopiedades pueden tomar decisiones </w:t>
      </w:r>
      <w:r w:rsidR="00A72FE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para garantizar la convivencia y la tranquilidad de la comunidad, sus decisiones encuentran un límite en 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la Constitución y la ley</w:t>
      </w:r>
      <w:r w:rsidR="00A72FE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. Es decir, sus decisiones no pueden 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contrariar el ordenamiento jurídico, ni pueden </w:t>
      </w:r>
      <w:r w:rsidR="00A72FE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afectar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, de forma desproporcional e irrazonable, </w:t>
      </w:r>
      <w:r w:rsidR="00A72FE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los derechos y garantías fundamentales de los residentes. </w:t>
      </w:r>
    </w:p>
    <w:p w14:paraId="3318325B" w14:textId="77777777" w:rsidR="00B355BD" w:rsidRPr="00A3074E" w:rsidRDefault="00B355BD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425098D0" w14:textId="77777777" w:rsidR="00165B96" w:rsidRPr="00A3074E" w:rsidRDefault="00CE116E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En ese entendido, la Corte ha afirmado que los conjuntos residenciales no pueden impedirles a los residentes ciertos comportamientos relacionados con sus animales de compañía.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Así, por ejemplo, </w:t>
      </w:r>
      <w:r w:rsidRPr="00A307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es-CO"/>
        </w:rPr>
        <w:t>no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pueden impedirles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: (i) 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mantener animales de compañía en su lugar de habitación; 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(ii) 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hacer uso de zonas comúnes como parques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, puertas 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o ascensores; 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(iii)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llevar a cabo acciones para garantizar la salud y la higiene de los animales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, entre otras cosas. Tampoco puede el Conjunto Residencial </w:t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impedirles a los animales manifestar su comportamiento natural, por ejemplo, no pueden exigir que 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un perro no ladre</w:t>
      </w:r>
      <w:r w:rsidR="002F6036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footnoteReference w:id="3"/>
      </w:r>
      <w:r w:rsidR="002F603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.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</w:t>
      </w:r>
    </w:p>
    <w:p w14:paraId="29032F8B" w14:textId="77777777" w:rsidR="00165B96" w:rsidRPr="00A3074E" w:rsidRDefault="00165B96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7A43A203" w14:textId="0DBB1A70" w:rsidR="00253F9A" w:rsidRPr="00A3074E" w:rsidRDefault="00A26C0B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En todo caso, las decisiones que tomen los órganos de administración deben ajustarse estrictamente a las disposiciones 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legales, en particular a 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la Ley 675 de 2001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–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régimen de propiedad horizontal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– </w:t>
      </w:r>
      <w:r w:rsidR="003763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, 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a la Ley 1801 de 2016 –Código Nacional de Seguridad y Convivencia Ciudadana–</w:t>
      </w:r>
      <w:r w:rsidR="003763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y a la Ley 2054 de 2020.</w:t>
      </w:r>
    </w:p>
    <w:p w14:paraId="0FAB47FA" w14:textId="77777777" w:rsidR="00253F9A" w:rsidRPr="00A3074E" w:rsidRDefault="00253F9A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38F4F11A" w14:textId="77777777" w:rsidR="00165B96" w:rsidRPr="00A3074E" w:rsidRDefault="00253F9A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En el parágrafo del artículo 74, la Ley 675 de 2001 establece que 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“</w:t>
      </w:r>
      <w:r w:rsidR="00A26C0B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los reglamentos de las Unidades Inmobiliarias Cerradas establecerán los requisitos para la permanencia de mascotas (animales domésticos)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”</w:t>
      </w:r>
      <w:r w:rsidR="00A26C0B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</w:t>
      </w:r>
      <w:r w:rsidR="00A26C0B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footnoteReference w:id="4"/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. 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Lo anterior significa que cualquier limitación a la permanencia de animales de compañía debe estar consagrada en el reglamento correspondiente. </w:t>
      </w:r>
      <w:r w:rsidR="00165B9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Además, el numeral 5 del artículo 2 establece que la imposición de sanciones deberá “</w:t>
      </w:r>
      <w:r w:rsidR="00165B96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consultar el debido proceso, el derecho de defensa, contradicción e impugnación”</w:t>
      </w:r>
      <w:r w:rsidR="00165B9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. De no observar dichos requisitos, la decisión de los órganos administradores afectaría el derecho fundamental al debido proceso.</w:t>
      </w:r>
    </w:p>
    <w:p w14:paraId="27D23D86" w14:textId="77777777" w:rsidR="00165B96" w:rsidRPr="00A3074E" w:rsidRDefault="00165B96" w:rsidP="00165B96">
      <w:pPr>
        <w:shd w:val="clear" w:color="auto" w:fill="FFFFFF"/>
        <w:tabs>
          <w:tab w:val="left" w:pos="2390"/>
        </w:tabs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478F17AB" w14:textId="6B065902" w:rsidR="00A26C0B" w:rsidRPr="00A3074E" w:rsidRDefault="00253F9A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 xml:space="preserve">Por su parte, la Ley 1801 de 2016 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lang w:eastAsia="es-ES_tradnl"/>
        </w:rPr>
        <w:t>establece que siempre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lang w:val="es-ES" w:eastAsia="es-ES_tradnl"/>
        </w:rPr>
        <w:t xml:space="preserve"> se permitirá la presencia de ejemplares caninos que, </w:t>
      </w:r>
      <w:r w:rsidR="00A26C0B" w:rsidRPr="00A3074E">
        <w:rPr>
          <w:rFonts w:ascii="Times New Roman" w:eastAsia="Times New Roman" w:hAnsi="Times New Roman" w:cs="Times New Roman"/>
          <w:i/>
          <w:iCs/>
          <w:sz w:val="24"/>
          <w:szCs w:val="24"/>
          <w:lang w:val="es-ES" w:eastAsia="es-ES_tradnl"/>
        </w:rPr>
        <w:t>como guías</w:t>
      </w:r>
      <w:r w:rsidR="00A26C0B" w:rsidRPr="00A3074E">
        <w:rPr>
          <w:rFonts w:ascii="Times New Roman" w:eastAsia="Times New Roman" w:hAnsi="Times New Roman" w:cs="Times New Roman"/>
          <w:sz w:val="24"/>
          <w:szCs w:val="24"/>
          <w:lang w:val="es-ES" w:eastAsia="es-ES_tradnl"/>
        </w:rPr>
        <w:t xml:space="preserve">, acompañen a su propietario o tenedor, y que la permanencia de un animal doméstico o mascota se sujetará a la reglamentación interna de las edificaciones públicas, que por su naturaleza así lo requieran. En este punto es importante señalar que, en la sentencia C-048 de 2020, la Corte Constitucional señaló que la mención a perros guías también incluye a todos los caninos de asistencia que acompañan a las personas en situación de discapacidad. </w:t>
      </w:r>
    </w:p>
    <w:p w14:paraId="578BDABA" w14:textId="77777777" w:rsidR="00A26C0B" w:rsidRPr="00A3074E" w:rsidRDefault="00A26C0B" w:rsidP="00A26C0B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2B530915" w14:textId="1475B162" w:rsidR="00A26C0B" w:rsidRPr="00376385" w:rsidRDefault="00A26C0B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lastRenderedPageBreak/>
        <w:t>Adicionalmente, en relación con los perros considerados potencialmente peligrosos el artículo 129 del citado Código dispone que en los conjuntos cerrados</w:t>
      </w:r>
      <w:r w:rsidRPr="00A3074E">
        <w:rPr>
          <w:rFonts w:ascii="Times New Roman" w:hAnsi="Times New Roman" w:cs="Times New Roman"/>
          <w:sz w:val="24"/>
          <w:szCs w:val="24"/>
          <w:shd w:val="clear" w:color="auto" w:fill="FFFFFF"/>
        </w:rPr>
        <w:t>, urbanizaciones y edificios con régimen de propiedad horizontal, podrá prohibirse la permanencia de ejemplares caninos potencialmente peligrosos, a solicitud de cualquiera de los copropietarios o residentes</w:t>
      </w:r>
      <w:r w:rsidR="00253F9A" w:rsidRPr="00A307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307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 únicamente </w:t>
      </w:r>
      <w:r w:rsidRPr="00A307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por decisión calificada de tres cuartas partes de las asambleas o de las juntas directivas de la copropiedad</w:t>
      </w:r>
      <w:r w:rsidRPr="00A3074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763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Sin embargo, en la sentencia C-059 de 2018, la Corte Constitucional determinó que únicamente se puede prohibir </w:t>
      </w:r>
      <w:r w:rsidR="003763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la permanencia </w:t>
      </w:r>
      <w:r w:rsidR="003763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perros potencialmente peligrosos o de manejo especial en zonas comunes, pero en ningún caso se puede prohibir su </w:t>
      </w:r>
      <w:r w:rsidR="00376385" w:rsidRPr="003763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tenencia</w:t>
      </w:r>
      <w:r w:rsidR="003763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su </w:t>
      </w:r>
      <w:r w:rsidR="00376385" w:rsidRPr="003763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tránsito</w:t>
      </w:r>
      <w:r w:rsidR="0037638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="003763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por zonas comunes. </w:t>
      </w:r>
    </w:p>
    <w:p w14:paraId="2B90399B" w14:textId="77777777" w:rsidR="005F0AC8" w:rsidRPr="00A3074E" w:rsidRDefault="005F0AC8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25D48CB9" w14:textId="1EB50B3B" w:rsidR="00376385" w:rsidRDefault="00253F9A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Por último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,</w:t>
      </w:r>
      <w:r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</w:t>
      </w:r>
      <w:r w:rsidR="003763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la Ley 2054 de 2020 modificó el artículo 117 de la Ley 1801 de 2016 y estableció que:</w:t>
      </w:r>
    </w:p>
    <w:p w14:paraId="7081A183" w14:textId="77777777" w:rsidR="00376385" w:rsidRDefault="00376385" w:rsidP="00376385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15963748" w14:textId="47E48D41" w:rsidR="00376385" w:rsidRDefault="00376385" w:rsidP="00376385">
      <w:pPr>
        <w:shd w:val="clear" w:color="auto" w:fill="FFFFFF"/>
        <w:spacing w:beforeAutospacing="1" w:after="0" w:afterAutospacing="1" w:line="240" w:lineRule="auto"/>
        <w:ind w:left="708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</w:pPr>
      <w:r w:rsidRPr="0037638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“</w:t>
      </w:r>
      <w:r w:rsidRPr="0037638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No podrán prohibirse el tránsito y permanencia de animales domésticos o mascotas en las zonas comunes de propiedades horizontales o conjuntos residenciales. Los ejemplares caninos deberán ir sujetos por medio de traílla y, en el caso de los caninos potencialmente peligroso, además irán provisto de bozal y el correspondiente permiso, de conformidad con la Ley.</w:t>
      </w:r>
    </w:p>
    <w:p w14:paraId="260BCDFB" w14:textId="77777777" w:rsidR="00376385" w:rsidRPr="00376385" w:rsidRDefault="00376385" w:rsidP="00376385">
      <w:pPr>
        <w:shd w:val="clear" w:color="auto" w:fill="FFFFFF"/>
        <w:spacing w:beforeAutospacing="1" w:after="0" w:afterAutospacing="1" w:line="240" w:lineRule="auto"/>
        <w:ind w:left="708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</w:pPr>
    </w:p>
    <w:p w14:paraId="33733F06" w14:textId="3ED386B8" w:rsidR="00376385" w:rsidRPr="00376385" w:rsidRDefault="00376385" w:rsidP="00376385">
      <w:pPr>
        <w:shd w:val="clear" w:color="auto" w:fill="FFFFFF"/>
        <w:spacing w:beforeAutospacing="1" w:after="0" w:afterAutospacing="1" w:line="240" w:lineRule="auto"/>
        <w:ind w:left="708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</w:pPr>
      <w:r w:rsidRPr="0037638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Los administradores de los conjuntos residenciales y de propiedades horizontal, quedan autorizados para no aplicar las normas de los Manuales de Convivencia que contraríen las disposiciones aquí descritas; por tanto, deberán solicitar de manera inmediata a las Asambleas de Copropietarios, la actualización de los Manuales de Convivencia de propiedades horizontal o conjuntos residenciales, a la normatividad que contempla el capítulo II del presente código”.</w:t>
      </w:r>
    </w:p>
    <w:p w14:paraId="10E4BC28" w14:textId="77777777" w:rsidR="00376385" w:rsidRDefault="00376385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</w:p>
    <w:p w14:paraId="56FEB404" w14:textId="33F905D3" w:rsidR="002F6036" w:rsidRPr="00A3074E" w:rsidRDefault="00376385" w:rsidP="005F0AC8">
      <w:pPr>
        <w:shd w:val="clear" w:color="auto" w:fill="FFFFFF"/>
        <w:spacing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Finalmente, 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es necesario señalar que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cualquier decisión que tomen los 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órganos de administración de los C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onjuntos Residenciales debe respetar también el derecho </w:t>
      </w:r>
      <w:r w:rsidR="00A72FEB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fundamental al debido proceso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(C.P, art. 29)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. Por eso, la Corte Constitucional ha </w:t>
      </w:r>
      <w:r w:rsidR="00253F9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reiterado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que, en lo que respecta a los conflictos relacionados con la tenencia de animales, las decisiones de los Conjuntos Residenciales deben: (i) estar contempladas en el reglamento de la copropiedad; (ii) sustentarse en el incumplimiento, por parte del residente, de normas </w:t>
      </w:r>
      <w:r w:rsidR="000A0F00" w:rsidRPr="00A307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es-CO"/>
        </w:rPr>
        <w:t>claras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y </w:t>
      </w:r>
      <w:r w:rsidR="000A0F00" w:rsidRPr="00A307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es-CO"/>
        </w:rPr>
        <w:t>preexistentes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sobre tenencia de animales; (iii) 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deben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ser adoptada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s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como </w:t>
      </w:r>
      <w:r w:rsidR="000A0F00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última ratio</w:t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, es decir, deben haberse agotado todos los mecanismos para resolver el conflicto de convivencia que sean menos lesivos de los derechos fundamentales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(</w:t>
      </w:r>
      <w:r w:rsidR="007C188A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necesidad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); y (iv) no debe implicar el sacrificio de principios que tengan un mayor peso que aquel que se pretende satisfacer con la medida (</w:t>
      </w:r>
      <w:r w:rsidR="007C188A" w:rsidRPr="00A3074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s-CO"/>
        </w:rPr>
        <w:t>proporcionalidad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)</w:t>
      </w:r>
      <w:r w:rsidR="000A0F00" w:rsidRPr="00A3074E">
        <w:rPr>
          <w:rStyle w:val="Refdenotaalpie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footnoteReference w:id="5"/>
      </w:r>
      <w:r w:rsidR="000A0F00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. 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>Además, debe dársele al residente la oportunidad de ser oído</w:t>
      </w:r>
      <w:r w:rsidR="00165B96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y de</w:t>
      </w:r>
      <w:r w:rsidR="007C188A" w:rsidRPr="00A3074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s-CO"/>
        </w:rPr>
        <w:t xml:space="preserve"> presentar sus argumentos fácticos y jurídicos.</w:t>
      </w:r>
    </w:p>
    <w:p w14:paraId="044CECF3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</w:p>
    <w:p w14:paraId="162AE48C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PRETENSIONES</w:t>
      </w:r>
    </w:p>
    <w:p w14:paraId="068E802B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3D792AB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Por todo lo anterior, solicito respetuosamente se acojan las siguientes pretensiones:</w:t>
      </w:r>
    </w:p>
    <w:p w14:paraId="20226192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205E166" w14:textId="77777777" w:rsidR="008D159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1. Que se TUTELE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N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mi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derecho</w:t>
      </w:r>
      <w:r w:rsidR="00B355BD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fundamental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es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al libre desarrollo de la personalidad</w:t>
      </w:r>
      <w:r w:rsidR="005F0AC8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, </w:t>
      </w:r>
      <w:r w:rsidR="008D1596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 la intimidad personal y familiar</w:t>
      </w:r>
      <w:r w:rsidR="005F0AC8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, y al debido proceso.</w:t>
      </w:r>
    </w:p>
    <w:p w14:paraId="16A4EB36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lastRenderedPageBreak/>
        <w:t xml:space="preserve">2. Que se ORDENE </w:t>
      </w:r>
      <w:r w:rsidR="00CC5458"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al accionado suspender inmediatamente todas las acciones violatorias de mis derechos fundamentales y abstenerse de realizarlas en el futuro.</w:t>
      </w:r>
    </w:p>
    <w:p w14:paraId="4FE03256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</w:p>
    <w:p w14:paraId="66F7DE2A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COMPETENCIA</w:t>
      </w:r>
    </w:p>
    <w:p w14:paraId="4E12D1B1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</w:p>
    <w:p w14:paraId="43034460" w14:textId="77777777" w:rsidR="00661936" w:rsidRPr="00A3074E" w:rsidRDefault="00377660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Este juzgado es competente para conocer la presente acción de tutela, en virtud de</w:t>
      </w:r>
      <w:r w:rsidR="00CC5458"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:</w:t>
      </w:r>
    </w:p>
    <w:p w14:paraId="6F62DEE1" w14:textId="77777777" w:rsidR="00B355BD" w:rsidRPr="00A3074E" w:rsidRDefault="00B355BD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</w:pPr>
    </w:p>
    <w:p w14:paraId="3F0D4CEF" w14:textId="77777777" w:rsidR="00CC5458" w:rsidRPr="00A3074E" w:rsidRDefault="00CC5458" w:rsidP="005F0A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El artículo 37 del Decreto 2591 de 1991, según el cual la competencia para conocer de la acción de tutela en primera instancia la tienen los jueces o tribunales con jurisdicción en el lugar donde ocurre la violación;</w:t>
      </w:r>
    </w:p>
    <w:p w14:paraId="7C4D3594" w14:textId="77777777" w:rsidR="00CC5458" w:rsidRPr="00A3074E" w:rsidRDefault="00CC5458" w:rsidP="005F0A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El artículo 1 del Decreto 1983 de 2017, que modificó las reglas de reparto de la acción de tutela, según el cual “las acciones de tutela que se interpongan contra</w:t>
      </w:r>
      <w:r w:rsidR="00B11496"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 xml:space="preserve"> (…)</w:t>
      </w:r>
      <w:r w:rsidR="00D35F42"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 xml:space="preserve"> particulares serán repartidas, para su conocimiento en prima instancia, a los Jueces Municipales</w:t>
      </w:r>
      <w:r w:rsidRPr="00A3074E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”.</w:t>
      </w:r>
    </w:p>
    <w:p w14:paraId="390D56EB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JURAMENTO</w:t>
      </w:r>
    </w:p>
    <w:p w14:paraId="4FCC3B6E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910BE6E" w14:textId="77777777" w:rsidR="00661936" w:rsidRPr="00A3074E" w:rsidRDefault="00661936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De acuerdo con el artículo 37 del Decreto 2591 de 1991, declaro bajo la gravedad de juramento que, por los mismos hechos y derechos, no he presentado otra acción de tutela.</w:t>
      </w:r>
    </w:p>
    <w:p w14:paraId="42666923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</w:p>
    <w:p w14:paraId="6DDC421F" w14:textId="77777777" w:rsidR="00661936" w:rsidRPr="00A3074E" w:rsidRDefault="00377660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 xml:space="preserve">PRUEBAS Y </w:t>
      </w:r>
      <w:r w:rsidR="00661936" w:rsidRPr="00A3074E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ANEXOS</w:t>
      </w:r>
    </w:p>
    <w:p w14:paraId="35E19A5F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AEBF2C6" w14:textId="77777777" w:rsidR="00661936" w:rsidRPr="00A3074E" w:rsidRDefault="00CC5458" w:rsidP="005F0AC8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 xml:space="preserve">Mencione y 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es-CO"/>
        </w:rPr>
        <w:t>adjunte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 xml:space="preserve"> las pruebas con las que cuente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</w:p>
    <w:p w14:paraId="38CD5B9D" w14:textId="77777777" w:rsidR="00CC5458" w:rsidRPr="00A3074E" w:rsidRDefault="00CC5458" w:rsidP="005F0AC8">
      <w:pPr>
        <w:shd w:val="clear" w:color="auto" w:fill="FFFFFF"/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[</w:t>
      </w:r>
      <w:r w:rsidRPr="00A3074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es-CO"/>
        </w:rPr>
        <w:t>Ejemplos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</w:p>
    <w:p w14:paraId="39406D07" w14:textId="77777777" w:rsidR="00CC5458" w:rsidRPr="00A3074E" w:rsidRDefault="00CC5458" w:rsidP="005F0AC8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Carta enviada por el Conjunto Residencial.</w:t>
      </w:r>
    </w:p>
    <w:p w14:paraId="77A37AF5" w14:textId="77777777" w:rsidR="00CC5458" w:rsidRPr="00A3074E" w:rsidRDefault="00B11496" w:rsidP="005F0AC8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Foto de la señalización que prohíbe tener animales de compañía.</w:t>
      </w:r>
    </w:p>
    <w:p w14:paraId="55B10BE7" w14:textId="77777777" w:rsidR="00533917" w:rsidRPr="00A3074E" w:rsidRDefault="00533917" w:rsidP="005F0AC8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Copia del acta adoptada por la asamblea general del Conjunto.</w:t>
      </w:r>
    </w:p>
    <w:p w14:paraId="04228359" w14:textId="77777777" w:rsidR="00CC5458" w:rsidRPr="00A3074E" w:rsidRDefault="00B11496" w:rsidP="005F0AC8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Etc.</w:t>
      </w:r>
    </w:p>
    <w:p w14:paraId="3B15AC6C" w14:textId="77777777" w:rsidR="00B11496" w:rsidRPr="00A3074E" w:rsidRDefault="00377660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NOTIFICACIONES</w:t>
      </w:r>
    </w:p>
    <w:p w14:paraId="498482D3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7B9BBF73" w14:textId="77777777" w:rsidR="00377660" w:rsidRPr="00A3074E" w:rsidRDefault="00B11496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El accionante y el accionado recibirán notificaciones en:</w:t>
      </w:r>
    </w:p>
    <w:p w14:paraId="210CA713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A3074E" w:rsidRPr="00A3074E" w14:paraId="63A60269" w14:textId="77777777" w:rsidTr="00B11496">
        <w:tc>
          <w:tcPr>
            <w:tcW w:w="2942" w:type="dxa"/>
          </w:tcPr>
          <w:p w14:paraId="7D7246F6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2943" w:type="dxa"/>
          </w:tcPr>
          <w:p w14:paraId="24193B03" w14:textId="77777777" w:rsidR="00B11496" w:rsidRPr="00A3074E" w:rsidRDefault="00A92CDF" w:rsidP="005F0AC8">
            <w:pPr>
              <w:spacing w:before="100" w:beforeAutospacing="1" w:after="100" w:afterAutospacing="1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ACCIONANTE</w:t>
            </w:r>
          </w:p>
        </w:tc>
        <w:tc>
          <w:tcPr>
            <w:tcW w:w="2943" w:type="dxa"/>
          </w:tcPr>
          <w:p w14:paraId="76F9AE70" w14:textId="77777777" w:rsidR="00B11496" w:rsidRPr="00A3074E" w:rsidRDefault="00A92CDF" w:rsidP="005F0AC8">
            <w:pPr>
              <w:spacing w:before="100" w:beforeAutospacing="1" w:after="100" w:afterAutospacing="1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ACCIONADO</w:t>
            </w:r>
          </w:p>
        </w:tc>
      </w:tr>
      <w:tr w:rsidR="00A3074E" w:rsidRPr="00A3074E" w14:paraId="310D0D67" w14:textId="77777777" w:rsidTr="00B11496">
        <w:tc>
          <w:tcPr>
            <w:tcW w:w="2942" w:type="dxa"/>
          </w:tcPr>
          <w:p w14:paraId="72B75C92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Dirección</w:t>
            </w:r>
          </w:p>
        </w:tc>
        <w:tc>
          <w:tcPr>
            <w:tcW w:w="2943" w:type="dxa"/>
          </w:tcPr>
          <w:p w14:paraId="7F67327D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[Inserte su dirección de residencia]</w:t>
            </w:r>
          </w:p>
        </w:tc>
        <w:tc>
          <w:tcPr>
            <w:tcW w:w="2943" w:type="dxa"/>
          </w:tcPr>
          <w:p w14:paraId="3508E384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 xml:space="preserve">[Inserte la dirección del Conjunto Residencial, </w:t>
            </w:r>
            <w:r w:rsidR="00A92CDF"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incluso</w:t>
            </w: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 xml:space="preserve"> si es la misma]</w:t>
            </w:r>
          </w:p>
        </w:tc>
      </w:tr>
      <w:tr w:rsidR="00A3074E" w:rsidRPr="00A3074E" w14:paraId="085F5959" w14:textId="77777777" w:rsidTr="00B11496">
        <w:tc>
          <w:tcPr>
            <w:tcW w:w="2942" w:type="dxa"/>
          </w:tcPr>
          <w:p w14:paraId="5CC80913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Teléfono</w:t>
            </w:r>
          </w:p>
        </w:tc>
        <w:tc>
          <w:tcPr>
            <w:tcW w:w="2943" w:type="dxa"/>
          </w:tcPr>
          <w:p w14:paraId="011103E2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[Inserte su teléfono]</w:t>
            </w:r>
          </w:p>
        </w:tc>
        <w:tc>
          <w:tcPr>
            <w:tcW w:w="2943" w:type="dxa"/>
          </w:tcPr>
          <w:p w14:paraId="04CEB0C0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[Inserte el teléfono del Conjunto Residencial, en caso de tenerlo]</w:t>
            </w:r>
          </w:p>
        </w:tc>
      </w:tr>
      <w:tr w:rsidR="00B11496" w:rsidRPr="00A3074E" w14:paraId="698FA385" w14:textId="77777777" w:rsidTr="00B11496">
        <w:tc>
          <w:tcPr>
            <w:tcW w:w="2942" w:type="dxa"/>
          </w:tcPr>
          <w:p w14:paraId="4CF34EA8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CO"/>
              </w:rPr>
              <w:t>Correo electrónico</w:t>
            </w:r>
          </w:p>
        </w:tc>
        <w:tc>
          <w:tcPr>
            <w:tcW w:w="2943" w:type="dxa"/>
          </w:tcPr>
          <w:p w14:paraId="2D1D5AC1" w14:textId="77777777" w:rsidR="00B11496" w:rsidRPr="00A3074E" w:rsidRDefault="00B11496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[Inserte su correo electrónico, en caso de tenerlo]</w:t>
            </w:r>
          </w:p>
        </w:tc>
        <w:tc>
          <w:tcPr>
            <w:tcW w:w="2943" w:type="dxa"/>
          </w:tcPr>
          <w:p w14:paraId="5A2F745B" w14:textId="77777777" w:rsidR="00B11496" w:rsidRPr="00A3074E" w:rsidRDefault="00A92CDF" w:rsidP="005F0AC8">
            <w:pPr>
              <w:spacing w:before="100" w:beforeAutospacing="1" w:after="100" w:afterAutospacing="1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</w:pPr>
            <w:r w:rsidRPr="00A307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CO"/>
              </w:rPr>
              <w:t>[Inserte el correo electrónico del Conjunto Residencial, en caso de tenerlo]</w:t>
            </w:r>
          </w:p>
        </w:tc>
      </w:tr>
    </w:tbl>
    <w:p w14:paraId="468104B3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E9E29A2" w14:textId="77777777" w:rsidR="00377660" w:rsidRPr="00A3074E" w:rsidRDefault="00377660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Atentamente,</w:t>
      </w:r>
    </w:p>
    <w:p w14:paraId="74B00730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2010A663" w14:textId="77777777" w:rsidR="00377660" w:rsidRPr="00A3074E" w:rsidRDefault="00CC545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lastRenderedPageBreak/>
        <w:t>[</w:t>
      </w:r>
      <w:r w:rsidRPr="00A3074E">
        <w:rPr>
          <w:rFonts w:ascii="Times New Roman" w:eastAsia="Times New Roman" w:hAnsi="Times New Roman" w:cs="Times New Roman"/>
          <w:sz w:val="24"/>
          <w:szCs w:val="24"/>
          <w:highlight w:val="yellow"/>
          <w:lang w:eastAsia="es-CO"/>
        </w:rPr>
        <w:t>FIRME EL DOCUMENTO</w:t>
      </w:r>
      <w:r w:rsidRPr="00A3074E">
        <w:rPr>
          <w:rFonts w:ascii="Times New Roman" w:eastAsia="Times New Roman" w:hAnsi="Times New Roman" w:cs="Times New Roman"/>
          <w:sz w:val="24"/>
          <w:szCs w:val="24"/>
          <w:lang w:eastAsia="es-CO"/>
        </w:rPr>
        <w:t>]</w:t>
      </w:r>
    </w:p>
    <w:p w14:paraId="39CBF7CF" w14:textId="77777777" w:rsidR="005F0AC8" w:rsidRPr="00A3074E" w:rsidRDefault="005F0AC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0EEA3DA" w14:textId="77777777" w:rsidR="00377660" w:rsidRPr="00A3074E" w:rsidRDefault="00CC5458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[</w:t>
      </w:r>
      <w:r w:rsidRPr="00A3074E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es-CO"/>
        </w:rPr>
        <w:t>NOMBRE COMPLETO</w:t>
      </w:r>
      <w:r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]</w:t>
      </w:r>
    </w:p>
    <w:p w14:paraId="3E10D25D" w14:textId="77777777" w:rsidR="00377660" w:rsidRPr="00A3074E" w:rsidRDefault="00377660" w:rsidP="005F0AC8">
      <w:pPr>
        <w:shd w:val="clear" w:color="auto" w:fill="FFFFFF"/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</w:pPr>
      <w:r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 xml:space="preserve">C.C </w:t>
      </w:r>
      <w:r w:rsidR="00CC5458"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[</w:t>
      </w:r>
      <w:r w:rsidR="00CC5458" w:rsidRPr="00A3074E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es-CO"/>
        </w:rPr>
        <w:t>NÚMERO DE CÉDULA</w:t>
      </w:r>
      <w:r w:rsidR="00CC5458"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] DE [</w:t>
      </w:r>
      <w:r w:rsidR="00CC5458" w:rsidRPr="00A3074E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es-CO"/>
        </w:rPr>
        <w:t>CIUDAD</w:t>
      </w:r>
      <w:r w:rsidR="00CC5458" w:rsidRPr="00A3074E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>]</w:t>
      </w:r>
    </w:p>
    <w:p w14:paraId="26631067" w14:textId="77777777" w:rsidR="00661936" w:rsidRPr="00A3074E" w:rsidRDefault="00661936" w:rsidP="005F0AC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61936" w:rsidRPr="00A307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FCFE6" w14:textId="77777777" w:rsidR="00954659" w:rsidRDefault="00954659" w:rsidP="00CE116E">
      <w:pPr>
        <w:spacing w:after="0" w:line="240" w:lineRule="auto"/>
      </w:pPr>
      <w:r>
        <w:separator/>
      </w:r>
    </w:p>
  </w:endnote>
  <w:endnote w:type="continuationSeparator" w:id="0">
    <w:p w14:paraId="22E8EE76" w14:textId="77777777" w:rsidR="00954659" w:rsidRDefault="00954659" w:rsidP="00CE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90DA7" w14:textId="77777777" w:rsidR="00954659" w:rsidRDefault="00954659" w:rsidP="00CE116E">
      <w:pPr>
        <w:spacing w:after="0" w:line="240" w:lineRule="auto"/>
      </w:pPr>
      <w:r>
        <w:separator/>
      </w:r>
    </w:p>
  </w:footnote>
  <w:footnote w:type="continuationSeparator" w:id="0">
    <w:p w14:paraId="55595C18" w14:textId="77777777" w:rsidR="00954659" w:rsidRDefault="00954659" w:rsidP="00CE116E">
      <w:pPr>
        <w:spacing w:after="0" w:line="240" w:lineRule="auto"/>
      </w:pPr>
      <w:r>
        <w:continuationSeparator/>
      </w:r>
    </w:p>
  </w:footnote>
  <w:footnote w:id="1">
    <w:p w14:paraId="107AD5AA" w14:textId="77777777" w:rsidR="00CE116E" w:rsidRPr="00A3074E" w:rsidRDefault="00CE116E" w:rsidP="00A26C0B">
      <w:pPr>
        <w:pStyle w:val="Textonotapie"/>
        <w:jc w:val="both"/>
        <w:rPr>
          <w:rFonts w:ascii="Times New Roman" w:hAnsi="Times New Roman" w:cs="Times New Roman"/>
          <w:lang w:val="es-ES"/>
        </w:rPr>
      </w:pPr>
      <w:r w:rsidRPr="00A3074E">
        <w:rPr>
          <w:rStyle w:val="Refdenotaalpie"/>
          <w:rFonts w:ascii="Times New Roman" w:hAnsi="Times New Roman" w:cs="Times New Roman"/>
        </w:rPr>
        <w:footnoteRef/>
      </w:r>
      <w:r w:rsidRPr="00A3074E">
        <w:rPr>
          <w:rFonts w:ascii="Times New Roman" w:hAnsi="Times New Roman" w:cs="Times New Roman"/>
        </w:rPr>
        <w:t xml:space="preserve"> </w:t>
      </w:r>
      <w:r w:rsidRPr="00A3074E">
        <w:rPr>
          <w:rFonts w:ascii="Times New Roman" w:hAnsi="Times New Roman" w:cs="Times New Roman"/>
          <w:lang w:val="es-ES"/>
        </w:rPr>
        <w:t>Corte Constitucional, T-035 de 1997.</w:t>
      </w:r>
    </w:p>
  </w:footnote>
  <w:footnote w:id="2">
    <w:p w14:paraId="53638B4F" w14:textId="77777777" w:rsidR="00CE116E" w:rsidRPr="00A3074E" w:rsidRDefault="00CE116E" w:rsidP="00A26C0B">
      <w:pPr>
        <w:pStyle w:val="Textonotapie"/>
        <w:jc w:val="both"/>
        <w:rPr>
          <w:rFonts w:ascii="Times New Roman" w:hAnsi="Times New Roman" w:cs="Times New Roman"/>
          <w:lang w:val="es-ES"/>
        </w:rPr>
      </w:pPr>
      <w:r w:rsidRPr="00A3074E">
        <w:rPr>
          <w:rStyle w:val="Refdenotaalpie"/>
          <w:rFonts w:ascii="Times New Roman" w:hAnsi="Times New Roman" w:cs="Times New Roman"/>
        </w:rPr>
        <w:footnoteRef/>
      </w:r>
      <w:r w:rsidRPr="00A3074E">
        <w:rPr>
          <w:rFonts w:ascii="Times New Roman" w:hAnsi="Times New Roman" w:cs="Times New Roman"/>
        </w:rPr>
        <w:t xml:space="preserve"> </w:t>
      </w:r>
      <w:r w:rsidRPr="00A3074E">
        <w:rPr>
          <w:rFonts w:ascii="Times New Roman" w:hAnsi="Times New Roman" w:cs="Times New Roman"/>
          <w:lang w:val="es-ES"/>
        </w:rPr>
        <w:t>Corte Constitucional, T-155 de 2012.</w:t>
      </w:r>
    </w:p>
  </w:footnote>
  <w:footnote w:id="3">
    <w:p w14:paraId="2CE44A84" w14:textId="77777777" w:rsidR="002F6036" w:rsidRPr="00A3074E" w:rsidRDefault="002F6036" w:rsidP="00A26C0B">
      <w:pPr>
        <w:pStyle w:val="Textonotapie"/>
        <w:jc w:val="both"/>
        <w:rPr>
          <w:rFonts w:ascii="Times New Roman" w:hAnsi="Times New Roman" w:cs="Times New Roman"/>
          <w:lang w:val="es-ES"/>
        </w:rPr>
      </w:pPr>
      <w:r w:rsidRPr="00A3074E">
        <w:rPr>
          <w:rStyle w:val="Refdenotaalpie"/>
          <w:rFonts w:ascii="Times New Roman" w:hAnsi="Times New Roman" w:cs="Times New Roman"/>
        </w:rPr>
        <w:footnoteRef/>
      </w:r>
      <w:r w:rsidRPr="00A3074E">
        <w:rPr>
          <w:rFonts w:ascii="Times New Roman" w:hAnsi="Times New Roman" w:cs="Times New Roman"/>
        </w:rPr>
        <w:t xml:space="preserve"> </w:t>
      </w:r>
      <w:r w:rsidRPr="00A3074E">
        <w:rPr>
          <w:rFonts w:ascii="Times New Roman" w:hAnsi="Times New Roman" w:cs="Times New Roman"/>
          <w:lang w:val="es-ES"/>
        </w:rPr>
        <w:t>Corte Constitucional, T-119 de 1998.</w:t>
      </w:r>
    </w:p>
  </w:footnote>
  <w:footnote w:id="4">
    <w:p w14:paraId="4D0B643F" w14:textId="77777777" w:rsidR="00A26C0B" w:rsidRPr="00A3074E" w:rsidRDefault="00A26C0B" w:rsidP="00A26C0B">
      <w:pPr>
        <w:pStyle w:val="NormalWeb"/>
        <w:shd w:val="clear" w:color="auto" w:fill="FFFFFF"/>
        <w:spacing w:before="0" w:beforeAutospacing="0" w:after="150" w:afterAutospacing="0"/>
        <w:jc w:val="both"/>
        <w:rPr>
          <w:sz w:val="20"/>
          <w:szCs w:val="20"/>
          <w:lang w:eastAsia="es-ES_tradnl"/>
        </w:rPr>
      </w:pPr>
      <w:r w:rsidRPr="00A3074E">
        <w:rPr>
          <w:rStyle w:val="Refdenotaalpie"/>
          <w:sz w:val="20"/>
          <w:szCs w:val="20"/>
        </w:rPr>
        <w:footnoteRef/>
      </w:r>
      <w:r w:rsidRPr="00A3074E">
        <w:rPr>
          <w:sz w:val="20"/>
          <w:szCs w:val="20"/>
        </w:rPr>
        <w:t xml:space="preserve"> Ley 675 de 2001, Art. 63. </w:t>
      </w:r>
      <w:r w:rsidRPr="00A3074E">
        <w:rPr>
          <w:i/>
          <w:iCs/>
          <w:sz w:val="20"/>
          <w:szCs w:val="20"/>
        </w:rPr>
        <w:t>Unidades Inmobiliarias Cerradas.</w:t>
      </w:r>
      <w:r w:rsidRPr="00A3074E">
        <w:rPr>
          <w:sz w:val="20"/>
          <w:szCs w:val="20"/>
        </w:rPr>
        <w:t xml:space="preserve"> L</w:t>
      </w:r>
      <w:r w:rsidRPr="00A3074E">
        <w:rPr>
          <w:sz w:val="20"/>
          <w:szCs w:val="20"/>
          <w:lang w:eastAsia="es-ES_tradnl"/>
        </w:rPr>
        <w:t>as Unidades Inmobiliarias Cerradas son conjuntos de edificios, casas y demás construcciones integradas arquitectónica y funcionalmente, que comparten elementos estructurales y constructivos, áreas comunes de circulación, recreación, reunión, instalaciones técnicas, zonas verdes y de disfrute visual; cuyos propietarios participan proporcionalmente en el pago de expensas comunes, tales como los servicios públicos comunitarios, vigilancia, mantenimiento y mejoras.</w:t>
      </w:r>
    </w:p>
    <w:p w14:paraId="4911AADD" w14:textId="77777777" w:rsidR="00A26C0B" w:rsidRPr="00A3074E" w:rsidRDefault="00A26C0B" w:rsidP="00A26C0B">
      <w:pPr>
        <w:pStyle w:val="NormalWeb"/>
        <w:shd w:val="clear" w:color="auto" w:fill="FFFFFF"/>
        <w:spacing w:before="0" w:beforeAutospacing="0" w:after="150" w:afterAutospacing="0"/>
        <w:jc w:val="both"/>
        <w:rPr>
          <w:sz w:val="20"/>
          <w:szCs w:val="20"/>
          <w:lang w:eastAsia="es-ES_tradnl"/>
        </w:rPr>
      </w:pPr>
      <w:r w:rsidRPr="00A3074E">
        <w:rPr>
          <w:sz w:val="20"/>
          <w:szCs w:val="20"/>
          <w:lang w:eastAsia="es-ES_tradnl"/>
        </w:rPr>
        <w:t>El acceso a tales conjuntos inmobiliarios se encuentra restringido por un encerramiento y controles de ingreso.</w:t>
      </w:r>
    </w:p>
    <w:p w14:paraId="45D4C24B" w14:textId="77777777" w:rsidR="00A26C0B" w:rsidRPr="00A3074E" w:rsidRDefault="00A26C0B" w:rsidP="00A26C0B">
      <w:pPr>
        <w:pStyle w:val="Textonotapie"/>
        <w:jc w:val="both"/>
        <w:rPr>
          <w:rFonts w:ascii="Times New Roman" w:hAnsi="Times New Roman" w:cs="Times New Roman"/>
          <w:lang w:val="es-ES"/>
        </w:rPr>
      </w:pPr>
    </w:p>
  </w:footnote>
  <w:footnote w:id="5">
    <w:p w14:paraId="0E2E8134" w14:textId="77777777" w:rsidR="000A0F00" w:rsidRPr="00A3074E" w:rsidRDefault="000A0F00" w:rsidP="00A26C0B">
      <w:pPr>
        <w:pStyle w:val="Textonotapie"/>
        <w:jc w:val="both"/>
        <w:rPr>
          <w:rFonts w:ascii="Times New Roman" w:hAnsi="Times New Roman" w:cs="Times New Roman"/>
          <w:lang w:val="es-ES"/>
        </w:rPr>
      </w:pPr>
      <w:r w:rsidRPr="00A3074E">
        <w:rPr>
          <w:rStyle w:val="Refdenotaalpie"/>
          <w:rFonts w:ascii="Times New Roman" w:hAnsi="Times New Roman" w:cs="Times New Roman"/>
        </w:rPr>
        <w:footnoteRef/>
      </w:r>
      <w:r w:rsidRPr="00A3074E">
        <w:rPr>
          <w:rFonts w:ascii="Times New Roman" w:hAnsi="Times New Roman" w:cs="Times New Roman"/>
        </w:rPr>
        <w:t xml:space="preserve"> </w:t>
      </w:r>
      <w:r w:rsidRPr="00A3074E">
        <w:rPr>
          <w:rFonts w:ascii="Times New Roman" w:hAnsi="Times New Roman" w:cs="Times New Roman"/>
          <w:lang w:val="es-ES"/>
        </w:rPr>
        <w:t>Corte Constitucional, T-155 de 2012</w:t>
      </w:r>
      <w:r w:rsidR="007C188A" w:rsidRPr="00A3074E">
        <w:rPr>
          <w:rFonts w:ascii="Times New Roman" w:hAnsi="Times New Roman" w:cs="Times New Roman"/>
          <w:lang w:val="es-ES"/>
        </w:rPr>
        <w:t xml:space="preserve"> y T-034 de 2013.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A056C2"/>
    <w:multiLevelType w:val="hybridMultilevel"/>
    <w:tmpl w:val="28165E9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E6793"/>
    <w:multiLevelType w:val="hybridMultilevel"/>
    <w:tmpl w:val="2E5A7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7059D"/>
    <w:multiLevelType w:val="hybridMultilevel"/>
    <w:tmpl w:val="0DE8D40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71E2"/>
    <w:multiLevelType w:val="hybridMultilevel"/>
    <w:tmpl w:val="6FD80C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activeWritingStyle w:appName="MSWord" w:lang="es-CO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936"/>
    <w:rsid w:val="000A0F00"/>
    <w:rsid w:val="00165B96"/>
    <w:rsid w:val="00253F9A"/>
    <w:rsid w:val="002A6412"/>
    <w:rsid w:val="002C77DE"/>
    <w:rsid w:val="002F6036"/>
    <w:rsid w:val="00312E2B"/>
    <w:rsid w:val="003662AB"/>
    <w:rsid w:val="00376385"/>
    <w:rsid w:val="00377660"/>
    <w:rsid w:val="003B12F0"/>
    <w:rsid w:val="00482485"/>
    <w:rsid w:val="00503861"/>
    <w:rsid w:val="00533917"/>
    <w:rsid w:val="0057213F"/>
    <w:rsid w:val="005A007A"/>
    <w:rsid w:val="005F0AC8"/>
    <w:rsid w:val="00605880"/>
    <w:rsid w:val="0062603D"/>
    <w:rsid w:val="00661936"/>
    <w:rsid w:val="007C188A"/>
    <w:rsid w:val="007D4ECE"/>
    <w:rsid w:val="008D1596"/>
    <w:rsid w:val="008E45DC"/>
    <w:rsid w:val="00954659"/>
    <w:rsid w:val="00A26C0B"/>
    <w:rsid w:val="00A3074E"/>
    <w:rsid w:val="00A72FEB"/>
    <w:rsid w:val="00A92CDF"/>
    <w:rsid w:val="00B076FF"/>
    <w:rsid w:val="00B11496"/>
    <w:rsid w:val="00B355BD"/>
    <w:rsid w:val="00CC5458"/>
    <w:rsid w:val="00CE116E"/>
    <w:rsid w:val="00D25A37"/>
    <w:rsid w:val="00D35F42"/>
    <w:rsid w:val="00D739F3"/>
    <w:rsid w:val="00F022CF"/>
    <w:rsid w:val="00F85633"/>
    <w:rsid w:val="00FB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D60B"/>
  <w15:chartTrackingRefBased/>
  <w15:docId w15:val="{E5985B8E-9B88-4196-B9D2-193AA7A8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661936"/>
    <w:rPr>
      <w:i/>
      <w:iCs/>
    </w:rPr>
  </w:style>
  <w:style w:type="paragraph" w:styleId="NormalWeb">
    <w:name w:val="Normal (Web)"/>
    <w:basedOn w:val="Normal"/>
    <w:uiPriority w:val="99"/>
    <w:unhideWhenUsed/>
    <w:rsid w:val="0066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66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7766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7766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159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1596"/>
    <w:rPr>
      <w:rFonts w:ascii="Times New Roman" w:hAnsi="Times New Roman" w:cs="Times New Roman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116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E116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E11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8D264A-8C6B-0F46-897A-131F578A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1467</Words>
  <Characters>8070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Mauricio Diaz Alarcon</dc:creator>
  <cp:keywords/>
  <dc:description/>
  <cp:lastModifiedBy>Microsoft Office User</cp:lastModifiedBy>
  <cp:revision>2</cp:revision>
  <dcterms:created xsi:type="dcterms:W3CDTF">2021-03-02T21:40:00Z</dcterms:created>
  <dcterms:modified xsi:type="dcterms:W3CDTF">2021-03-02T21:40:00Z</dcterms:modified>
</cp:coreProperties>
</file>